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14"/>
        <w:gridCol w:w="6801"/>
        <w:gridCol w:w="2868"/>
      </w:tblGrid>
      <w:tr w:rsidR="000145FC" w:rsidRPr="000145FC" w:rsidTr="001F5C06">
        <w:tc>
          <w:tcPr>
            <w:tcW w:w="14175" w:type="dxa"/>
            <w:gridSpan w:val="4"/>
            <w:shd w:val="clear" w:color="auto" w:fill="D9D9D9"/>
          </w:tcPr>
          <w:p w:rsidR="000145FC" w:rsidRPr="000145FC" w:rsidRDefault="000145FC" w:rsidP="000145FC">
            <w:pPr>
              <w:spacing w:before="120" w:after="80" w:line="288" w:lineRule="auto"/>
              <w:ind w:left="720"/>
              <w:contextualSpacing/>
              <w:jc w:val="both"/>
              <w:rPr>
                <w:rFonts w:ascii="Times New Roman" w:eastAsia="Calibri" w:hAnsi="Times New Roman" w:cs="Times New Roman"/>
                <w:b/>
                <w:sz w:val="26"/>
                <w:szCs w:val="26"/>
                <w:lang w:val="fr-FR"/>
              </w:rPr>
            </w:pPr>
            <w:bookmarkStart w:id="0" w:name="_GoBack"/>
            <w:bookmarkEnd w:id="0"/>
            <w:r w:rsidRPr="000145FC">
              <w:rPr>
                <w:rFonts w:ascii="Times New Roman" w:eastAsia="Calibri" w:hAnsi="Times New Roman" w:cs="Times New Roman"/>
                <w:b/>
                <w:sz w:val="26"/>
                <w:szCs w:val="26"/>
                <w:lang w:val="fr-FR"/>
              </w:rPr>
              <w:t>Dự thảo Nghị định sửa đổi, bổ sung một số điều của Nghị định số 11/2010/NĐ-CP ngày 24/02/2010 của Chính phủ quy định về quản lý và bảo vệ kết cấu hạ tầng giao thông đường bộ</w:t>
            </w:r>
          </w:p>
        </w:tc>
      </w:tr>
      <w:tr w:rsidR="000145FC" w:rsidRPr="000145FC" w:rsidTr="001F5C06">
        <w:tc>
          <w:tcPr>
            <w:tcW w:w="692" w:type="dxa"/>
            <w:shd w:val="clear" w:color="auto" w:fill="auto"/>
          </w:tcPr>
          <w:p w:rsidR="000145FC" w:rsidRPr="000145FC" w:rsidRDefault="000145FC" w:rsidP="000145FC">
            <w:pPr>
              <w:numPr>
                <w:ilvl w:val="0"/>
                <w:numId w:val="2"/>
              </w:numPr>
              <w:spacing w:before="120" w:after="80" w:line="288" w:lineRule="auto"/>
              <w:contextualSpacing/>
              <w:jc w:val="both"/>
              <w:rPr>
                <w:rFonts w:ascii="Times New Roman" w:eastAsia="Calibri" w:hAnsi="Times New Roman" w:cs="Times New Roman"/>
                <w:sz w:val="26"/>
                <w:szCs w:val="26"/>
              </w:rPr>
            </w:pPr>
            <w:r w:rsidRPr="000145FC">
              <w:rPr>
                <w:rFonts w:ascii="Times New Roman" w:eastAsia="Calibri" w:hAnsi="Times New Roman" w:cs="Times New Roman"/>
                <w:sz w:val="26"/>
                <w:szCs w:val="26"/>
              </w:rPr>
              <w:t>1</w:t>
            </w:r>
          </w:p>
        </w:tc>
        <w:tc>
          <w:tcPr>
            <w:tcW w:w="3814"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b/>
                <w:sz w:val="26"/>
                <w:szCs w:val="26"/>
                <w:lang w:val="fr-FR"/>
              </w:rPr>
            </w:pPr>
            <w:r w:rsidRPr="000145FC">
              <w:rPr>
                <w:rFonts w:ascii="Times New Roman" w:eastAsia="Calibri" w:hAnsi="Times New Roman" w:cs="Times New Roman"/>
                <w:b/>
                <w:sz w:val="26"/>
                <w:szCs w:val="26"/>
                <w:lang w:val="fr-FR"/>
              </w:rPr>
              <w:t>Điều kiện của cơ sở kinh doanh đào tạo thẩm tra viên an toàn giao thông đường bộ (Khoản 2 Điều 1 Dự thảo bổ sung Điều 12a)</w:t>
            </w:r>
          </w:p>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 xml:space="preserve">Điểm b khoản 2 Điều 12a quy định, cơ sở kinh doanh đào tạo thẩm tra viên an toàn giao thông phải có </w:t>
            </w:r>
            <w:r w:rsidRPr="000145FC">
              <w:rPr>
                <w:rFonts w:ascii="Times New Roman" w:eastAsia="Calibri" w:hAnsi="Times New Roman" w:cs="Times New Roman"/>
                <w:b/>
                <w:sz w:val="26"/>
                <w:szCs w:val="26"/>
                <w:lang w:val="fr-FR"/>
              </w:rPr>
              <w:t>phương tiện, thiết bị đáp ứng yêu cầu giảng dạy và học tập</w:t>
            </w:r>
          </w:p>
        </w:tc>
        <w:tc>
          <w:tcPr>
            <w:tcW w:w="6801"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Quy định này là khá chung chung và thiếu rõ ràng, vì không rõ những phương tiện, thiết bị như thế nào thì đáp ứng được yêu cầu giảng dạy và học tập. Điều này có thể tạo ra nhiều cách hiểu khác nhau giữa các đối tượng áp dụng và trao nhiều quyền có tính chất suy đoán cho cán bộ thực thi, gây khó khăn cho doanh nghiệp.</w:t>
            </w:r>
          </w:p>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b/>
                <w:sz w:val="26"/>
                <w:szCs w:val="26"/>
                <w:lang w:val="fr-FR"/>
              </w:rPr>
              <w:t>Đề nghịquy định cụ thể</w:t>
            </w:r>
            <w:r w:rsidRPr="000145FC">
              <w:rPr>
                <w:rFonts w:ascii="Times New Roman" w:eastAsia="Calibri" w:hAnsi="Times New Roman" w:cs="Times New Roman"/>
                <w:sz w:val="26"/>
                <w:szCs w:val="26"/>
                <w:lang w:val="fr-FR"/>
              </w:rPr>
              <w:t xml:space="preserve"> những phương tiện, thiết bị đáp ứng yêu cầu giảng dạy và học tập. Trong trường hợp không liệt kê được thì đề nghị </w:t>
            </w:r>
            <w:r w:rsidRPr="000145FC">
              <w:rPr>
                <w:rFonts w:ascii="Times New Roman" w:eastAsia="Calibri" w:hAnsi="Times New Roman" w:cs="Times New Roman"/>
                <w:b/>
                <w:sz w:val="26"/>
                <w:szCs w:val="26"/>
                <w:lang w:val="fr-FR"/>
              </w:rPr>
              <w:t>bỏ</w:t>
            </w:r>
            <w:r w:rsidRPr="000145FC">
              <w:rPr>
                <w:rFonts w:ascii="Times New Roman" w:eastAsia="Calibri" w:hAnsi="Times New Roman" w:cs="Times New Roman"/>
                <w:sz w:val="26"/>
                <w:szCs w:val="26"/>
                <w:lang w:val="fr-FR"/>
              </w:rPr>
              <w:t xml:space="preserve"> quy định tại điểm b khoản 2 Điều 12a.</w:t>
            </w:r>
          </w:p>
        </w:tc>
      </w:tr>
      <w:tr w:rsidR="000145FC" w:rsidRPr="000145FC" w:rsidTr="001F5C06">
        <w:tc>
          <w:tcPr>
            <w:tcW w:w="692" w:type="dxa"/>
            <w:shd w:val="clear" w:color="auto" w:fill="auto"/>
          </w:tcPr>
          <w:p w:rsidR="000145FC" w:rsidRPr="000145FC" w:rsidRDefault="000145FC" w:rsidP="000145FC">
            <w:pPr>
              <w:numPr>
                <w:ilvl w:val="0"/>
                <w:numId w:val="2"/>
              </w:numPr>
              <w:spacing w:before="120" w:after="80" w:line="288" w:lineRule="auto"/>
              <w:contextualSpacing/>
              <w:jc w:val="both"/>
              <w:rPr>
                <w:rFonts w:ascii="Times New Roman" w:eastAsia="Calibri" w:hAnsi="Times New Roman" w:cs="Times New Roman"/>
                <w:sz w:val="26"/>
                <w:szCs w:val="26"/>
              </w:rPr>
            </w:pPr>
            <w:r w:rsidRPr="000145FC">
              <w:rPr>
                <w:rFonts w:ascii="Times New Roman" w:eastAsia="Calibri" w:hAnsi="Times New Roman" w:cs="Times New Roman"/>
                <w:sz w:val="26"/>
                <w:szCs w:val="26"/>
              </w:rPr>
              <w:t>2</w:t>
            </w:r>
          </w:p>
        </w:tc>
        <w:tc>
          <w:tcPr>
            <w:tcW w:w="3814"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b/>
                <w:sz w:val="26"/>
                <w:szCs w:val="26"/>
                <w:lang w:val="fr-FR"/>
              </w:rPr>
            </w:pPr>
            <w:r w:rsidRPr="000145FC">
              <w:rPr>
                <w:rFonts w:ascii="Times New Roman" w:eastAsia="Calibri" w:hAnsi="Times New Roman" w:cs="Times New Roman"/>
                <w:b/>
                <w:sz w:val="26"/>
                <w:szCs w:val="26"/>
                <w:lang w:val="fr-FR"/>
              </w:rPr>
              <w:t>Hồ sơ đề nghị chấp thuận cơ sở đào tạo (bổ sung khoản b Điều 12)</w:t>
            </w:r>
          </w:p>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 xml:space="preserve">Trong Hồ sơ phải có “Danh sách giảng viên, cán bộ quản lý (có kê khai về trình độ chuyên môn, kinh nghiệm thực tế trong hoạt động nghề nghiệp) kèm theo bản sao </w:t>
            </w:r>
            <w:r w:rsidRPr="000145FC">
              <w:rPr>
                <w:rFonts w:ascii="Times New Roman" w:eastAsia="Calibri" w:hAnsi="Times New Roman" w:cs="Times New Roman"/>
                <w:b/>
                <w:sz w:val="26"/>
                <w:szCs w:val="26"/>
                <w:lang w:val="fr-FR"/>
              </w:rPr>
              <w:t>hợp đồng giảng dạy hoặc hợp đồng lao động”</w:t>
            </w:r>
          </w:p>
        </w:tc>
        <w:tc>
          <w:tcPr>
            <w:tcW w:w="6801"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Trong Hồ sơ xin cấp phép yêu cầu phải có Hợp đồng lao động giữa cơ sở đào tạo với giáo viên có thể là chưa hợp lý.</w:t>
            </w:r>
          </w:p>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Tại thời điểm xin cấp phép, doanh nghiệp không thể khẳng định chắc chắn là có được cấp phép hay không, vì vậy yêu cầu tại thời điểm đó phải ký kết hợp đồng lao động/hợp đồng giảng dạy với các giáo viên sẽ tạo rất nhiều rủi ro. Bởi vì, trong trường hợp không được cấp phép, nhưng đã ký hợp đồng trước đó rồi, doanh nghiệp sẽ lâm vào tình trạng vi phạm hợp đồng với các giáo viên ký kết, có thể sẽ phải bồi thường hoặc phạt vi phạm.</w:t>
            </w:r>
          </w:p>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 xml:space="preserve">Yêu cầu doanh nghiệp kê khai danh sách giảng viên, cán bộ quản lý dự kiến tại thời điểm xin cấp phép là hợp lý. Để kiểm soát doanh nghiệp chấp hành đúng quy định thì có thể đặt ra thời hạn sau thời điểm cấp phép, doanh nghiệp phải cung cấp các bản hợp đồng lao động đã ký kết để chứng minh hoặc doanh </w:t>
            </w:r>
            <w:r w:rsidRPr="000145FC">
              <w:rPr>
                <w:rFonts w:ascii="Times New Roman" w:eastAsia="Calibri" w:hAnsi="Times New Roman" w:cs="Times New Roman"/>
                <w:sz w:val="26"/>
                <w:szCs w:val="26"/>
                <w:lang w:val="fr-FR"/>
              </w:rPr>
              <w:lastRenderedPageBreak/>
              <w:t>nghiệp phải cung cấp các hợp đồng lao động khi cơ quan nhà nước tiến hành kiểm tra.</w:t>
            </w:r>
          </w:p>
        </w:tc>
        <w:tc>
          <w:tcPr>
            <w:tcW w:w="2868"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b/>
                <w:sz w:val="26"/>
                <w:szCs w:val="26"/>
                <w:lang w:val="fr-FR"/>
              </w:rPr>
              <w:lastRenderedPageBreak/>
              <w:t>Đề nghị bỏ yêu cầu phải có hợp đồng giảng dạy hoặc hợp đồng lao động</w:t>
            </w:r>
            <w:r w:rsidRPr="000145FC">
              <w:rPr>
                <w:rFonts w:ascii="Times New Roman" w:eastAsia="Calibri" w:hAnsi="Times New Roman" w:cs="Times New Roman"/>
                <w:sz w:val="26"/>
                <w:szCs w:val="26"/>
                <w:lang w:val="fr-FR"/>
              </w:rPr>
              <w:t xml:space="preserve"> trong Hồ sơ xin cấp phép tại điểm d khoản 1 Điều 12b. </w:t>
            </w:r>
          </w:p>
        </w:tc>
      </w:tr>
      <w:tr w:rsidR="000145FC" w:rsidRPr="000145FC" w:rsidTr="001F5C06">
        <w:tc>
          <w:tcPr>
            <w:tcW w:w="692" w:type="dxa"/>
            <w:shd w:val="clear" w:color="auto" w:fill="auto"/>
          </w:tcPr>
          <w:p w:rsidR="000145FC" w:rsidRPr="000145FC" w:rsidRDefault="000145FC" w:rsidP="000145FC">
            <w:pPr>
              <w:numPr>
                <w:ilvl w:val="0"/>
                <w:numId w:val="2"/>
              </w:numPr>
              <w:spacing w:before="120" w:after="80" w:line="288" w:lineRule="auto"/>
              <w:contextualSpacing/>
              <w:jc w:val="both"/>
              <w:rPr>
                <w:rFonts w:ascii="Times New Roman" w:eastAsia="Calibri" w:hAnsi="Times New Roman" w:cs="Times New Roman"/>
                <w:sz w:val="26"/>
                <w:szCs w:val="26"/>
              </w:rPr>
            </w:pPr>
            <w:r w:rsidRPr="000145FC">
              <w:rPr>
                <w:rFonts w:ascii="Times New Roman" w:eastAsia="Calibri" w:hAnsi="Times New Roman" w:cs="Times New Roman"/>
                <w:sz w:val="26"/>
                <w:szCs w:val="26"/>
              </w:rPr>
              <w:lastRenderedPageBreak/>
              <w:t>3</w:t>
            </w:r>
          </w:p>
        </w:tc>
        <w:tc>
          <w:tcPr>
            <w:tcW w:w="3814"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b/>
                <w:sz w:val="26"/>
                <w:szCs w:val="26"/>
                <w:lang w:val="fr-FR"/>
              </w:rPr>
              <w:t>Cấp chứng chỉ thẩm tra viên an toàn giao thông</w:t>
            </w:r>
          </w:p>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 xml:space="preserve">Điểm a khoản 1 Điều 12đ </w:t>
            </w:r>
          </w:p>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Để được cấp đổi chứng chỉ thẩm tra viên an toàn giao thông, thẩm tra viên phải đáp ứng điều kiện: “</w:t>
            </w:r>
            <w:r w:rsidRPr="000145FC">
              <w:rPr>
                <w:rFonts w:ascii="Times New Roman" w:eastAsia="Calibri" w:hAnsi="Times New Roman" w:cs="Times New Roman"/>
                <w:b/>
                <w:sz w:val="26"/>
                <w:szCs w:val="26"/>
                <w:lang w:val="fr-FR"/>
              </w:rPr>
              <w:t>trong thời hạn sử dụng của chứng chỉ</w:t>
            </w:r>
            <w:r w:rsidRPr="000145FC">
              <w:rPr>
                <w:rFonts w:ascii="Times New Roman" w:eastAsia="Calibri" w:hAnsi="Times New Roman" w:cs="Times New Roman"/>
                <w:sz w:val="26"/>
                <w:szCs w:val="26"/>
                <w:lang w:val="fr-FR"/>
              </w:rPr>
              <w:t>, thẩm tra viên phải tham gia thẩm tra, thẩm định an toàn giao thông đường bộ hoặc tham gia thiết kế, thẩm định phê duyệt xử lý điểm đen, điểm tiềm ẩn tai nạn giao thông ít nhất 03 công trình”</w:t>
            </w:r>
          </w:p>
        </w:tc>
        <w:tc>
          <w:tcPr>
            <w:tcW w:w="6801"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Quy định này được hiểu là thẩm tra viên phải có hoạt động liên quan đến thẩm tra an toàn giao thông trong thời hạn của chứng chỉ. Tuy nhiên, Dự thảo không có quy định, trong trường hợp thẩm tra viên không đáp ứng được điều kiện để được cấp đổi chứng chỉ thì sẽ phải thực hiện thủ tục nào để có lại được chứng chỉ (có phải tham gia khóa đào tạo lại hay không? Có phải thực hiện thủ tục cấp chứng chỉ như cấp chứng chỉ lần đầu không)?</w:t>
            </w:r>
          </w:p>
        </w:tc>
        <w:tc>
          <w:tcPr>
            <w:tcW w:w="2868"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b/>
                <w:sz w:val="26"/>
                <w:szCs w:val="26"/>
                <w:lang w:val="fr-FR"/>
              </w:rPr>
              <w:t>Đề nghị quy định rõ</w:t>
            </w:r>
            <w:r w:rsidRPr="000145FC">
              <w:rPr>
                <w:rFonts w:ascii="Times New Roman" w:eastAsia="Calibri" w:hAnsi="Times New Roman" w:cs="Times New Roman"/>
                <w:sz w:val="26"/>
                <w:szCs w:val="26"/>
                <w:lang w:val="fr-FR"/>
              </w:rPr>
              <w:t xml:space="preserve"> vấn đề trên để đảm bảo thuận lợi trong thực hiện</w:t>
            </w:r>
          </w:p>
        </w:tc>
      </w:tr>
      <w:tr w:rsidR="000145FC" w:rsidRPr="000145FC" w:rsidTr="001F5C06">
        <w:tc>
          <w:tcPr>
            <w:tcW w:w="692" w:type="dxa"/>
            <w:shd w:val="clear" w:color="auto" w:fill="auto"/>
          </w:tcPr>
          <w:p w:rsidR="000145FC" w:rsidRPr="000145FC" w:rsidRDefault="000145FC" w:rsidP="000145FC">
            <w:pPr>
              <w:numPr>
                <w:ilvl w:val="0"/>
                <w:numId w:val="2"/>
              </w:numPr>
              <w:spacing w:before="120" w:after="80" w:line="288" w:lineRule="auto"/>
              <w:contextualSpacing/>
              <w:jc w:val="both"/>
              <w:rPr>
                <w:rFonts w:ascii="Times New Roman" w:eastAsia="Calibri" w:hAnsi="Times New Roman" w:cs="Times New Roman"/>
                <w:sz w:val="26"/>
                <w:szCs w:val="26"/>
              </w:rPr>
            </w:pPr>
            <w:r w:rsidRPr="000145FC">
              <w:rPr>
                <w:rFonts w:ascii="Times New Roman" w:eastAsia="Calibri" w:hAnsi="Times New Roman" w:cs="Times New Roman"/>
                <w:sz w:val="26"/>
                <w:szCs w:val="26"/>
              </w:rPr>
              <w:t>4</w:t>
            </w:r>
          </w:p>
        </w:tc>
        <w:tc>
          <w:tcPr>
            <w:tcW w:w="3814"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b/>
                <w:sz w:val="26"/>
                <w:szCs w:val="26"/>
                <w:lang w:val="fr-FR"/>
              </w:rPr>
            </w:pPr>
            <w:r w:rsidRPr="000145FC">
              <w:rPr>
                <w:rFonts w:ascii="Times New Roman" w:eastAsia="Calibri" w:hAnsi="Times New Roman" w:cs="Times New Roman"/>
                <w:b/>
                <w:sz w:val="26"/>
                <w:szCs w:val="26"/>
                <w:lang w:val="fr-FR"/>
              </w:rPr>
              <w:t>Thời hạn cấp lại chứng chỉ thẩm tra viên an toàn giao thông (khoản e Điều 12)</w:t>
            </w:r>
          </w:p>
          <w:p w:rsidR="000145FC" w:rsidRPr="000145FC" w:rsidRDefault="000145FC" w:rsidP="000145FC">
            <w:pPr>
              <w:spacing w:before="120" w:after="80" w:line="288" w:lineRule="auto"/>
              <w:jc w:val="both"/>
              <w:rPr>
                <w:rFonts w:ascii="Times New Roman" w:eastAsia="Calibri" w:hAnsi="Times New Roman" w:cs="Times New Roman"/>
                <w:b/>
                <w:sz w:val="26"/>
                <w:szCs w:val="26"/>
                <w:lang w:val="fr-FR"/>
              </w:rPr>
            </w:pPr>
            <w:r w:rsidRPr="000145FC">
              <w:rPr>
                <w:rFonts w:ascii="Times New Roman" w:eastAsia="Calibri" w:hAnsi="Times New Roman" w:cs="Times New Roman"/>
                <w:sz w:val="26"/>
                <w:szCs w:val="26"/>
                <w:lang w:val="fr-FR"/>
              </w:rPr>
              <w:t>Thời hạn giải quyết thủ tục cấp lại trong 10 ngày làm việc, kể từ ngày nhận đủ hồ sơ.</w:t>
            </w:r>
          </w:p>
        </w:tc>
        <w:tc>
          <w:tcPr>
            <w:tcW w:w="6801"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sz w:val="26"/>
                <w:szCs w:val="26"/>
                <w:lang w:val="fr-FR"/>
              </w:rPr>
              <w:t>Thời hạn quy định này bằng thời hạn giải quyết cấp đổi chứng chỉ thẩm tra viên an toàn giao thông đường bộ, trong khi hồ sơ và tính chất của hai thủ tục này là khác nhau. Đối với trường hợp cấp lại thì cơ quan giải quyết thủ tục chỉ cần hoặc tìm lại dữ liệu hồ sơ để xác định chứng chỉ đã từng cấp (trong trường hợp mất) hoặc xem xét mức độ hư hỏng của chứng chỉ (trong trường hợp bị hư hỏng) – hoạt động không mất quá nhiều thời gian như để xem xét thẩm định điều kiện của cấp đổi.</w:t>
            </w:r>
          </w:p>
        </w:tc>
        <w:tc>
          <w:tcPr>
            <w:tcW w:w="2868" w:type="dxa"/>
            <w:shd w:val="clear" w:color="auto" w:fill="auto"/>
          </w:tcPr>
          <w:p w:rsidR="000145FC" w:rsidRPr="000145FC" w:rsidRDefault="000145FC" w:rsidP="000145FC">
            <w:pPr>
              <w:spacing w:before="120" w:after="80" w:line="288" w:lineRule="auto"/>
              <w:jc w:val="both"/>
              <w:rPr>
                <w:rFonts w:ascii="Times New Roman" w:eastAsia="Calibri" w:hAnsi="Times New Roman" w:cs="Times New Roman"/>
                <w:sz w:val="26"/>
                <w:szCs w:val="26"/>
                <w:lang w:val="fr-FR"/>
              </w:rPr>
            </w:pPr>
            <w:r w:rsidRPr="000145FC">
              <w:rPr>
                <w:rFonts w:ascii="Times New Roman" w:eastAsia="Calibri" w:hAnsi="Times New Roman" w:cs="Times New Roman"/>
                <w:b/>
                <w:sz w:val="26"/>
                <w:szCs w:val="26"/>
                <w:lang w:val="fr-FR"/>
              </w:rPr>
              <w:t>Đề nghị rút ngắn thời gian</w:t>
            </w:r>
            <w:r w:rsidRPr="000145FC">
              <w:rPr>
                <w:rFonts w:ascii="Times New Roman" w:eastAsia="Calibri" w:hAnsi="Times New Roman" w:cs="Times New Roman"/>
                <w:sz w:val="26"/>
                <w:szCs w:val="26"/>
                <w:lang w:val="fr-FR"/>
              </w:rPr>
              <w:t xml:space="preserve"> cấp lại chứng chỉ thẩm tra viên an toàn giao thông đường bộ so với đề xuất tại Dự thảo, có thể là 05 ngày làm việc.</w:t>
            </w:r>
          </w:p>
        </w:tc>
      </w:tr>
    </w:tbl>
    <w:p w:rsidR="00181A50" w:rsidRPr="000145FC" w:rsidRDefault="00181A50">
      <w:pPr>
        <w:rPr>
          <w:lang w:val="fr-FR"/>
        </w:rPr>
      </w:pPr>
    </w:p>
    <w:sectPr w:rsidR="00181A50" w:rsidRPr="000145FC" w:rsidSect="000145FC">
      <w:pgSz w:w="15840" w:h="12240" w:orient="landscape"/>
      <w:pgMar w:top="1135" w:right="144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B3713"/>
    <w:multiLevelType w:val="hybridMultilevel"/>
    <w:tmpl w:val="4206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486E97"/>
    <w:multiLevelType w:val="hybridMultilevel"/>
    <w:tmpl w:val="3CD63836"/>
    <w:lvl w:ilvl="0" w:tplc="E52698F8">
      <w:start w:val="1"/>
      <w:numFmt w:val="decimal"/>
      <w:lvlText w:val="%1."/>
      <w:lvlJc w:val="left"/>
      <w:pPr>
        <w:ind w:left="689" w:hanging="547"/>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60"/>
    <w:rsid w:val="000145FC"/>
    <w:rsid w:val="00181A50"/>
    <w:rsid w:val="00E3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ED4F1-4B43-4ADC-BBC7-3915F53C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2016-08-29T04:25:00Z</dcterms:created>
  <dcterms:modified xsi:type="dcterms:W3CDTF">2016-08-29T04:26:00Z</dcterms:modified>
</cp:coreProperties>
</file>